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F4" w:rsidRDefault="006B65A1">
      <w:pPr>
        <w:jc w:val="center"/>
        <w:rPr>
          <w:rFonts w:ascii="Times New Roman" w:eastAsia="华文中宋" w:hAnsi="Times New Roman"/>
          <w:sz w:val="36"/>
        </w:rPr>
      </w:pPr>
      <w:r>
        <w:rPr>
          <w:rFonts w:ascii="Times New Roman" w:eastAsia="华文中宋" w:hAnsi="Times New Roman" w:hint="eastAsia"/>
          <w:sz w:val="36"/>
        </w:rPr>
        <w:t>考试阅卷设备租赁服务招标需求</w:t>
      </w:r>
    </w:p>
    <w:p w:rsidR="00F048F4" w:rsidRDefault="00F048F4">
      <w:pPr>
        <w:ind w:firstLineChars="200" w:firstLine="640"/>
        <w:rPr>
          <w:rFonts w:ascii="Times New Roman" w:eastAsia="仿宋_GB2312" w:hAnsi="Times New Roman"/>
          <w:sz w:val="32"/>
        </w:rPr>
      </w:pPr>
    </w:p>
    <w:p w:rsidR="00F048F4" w:rsidRDefault="006B65A1">
      <w:pPr>
        <w:widowControl/>
        <w:spacing w:beforeLines="50" w:before="156" w:afterLines="50" w:after="156"/>
        <w:ind w:firstLineChars="200" w:firstLine="720"/>
        <w:outlineLvl w:val="0"/>
        <w:rPr>
          <w:rFonts w:ascii="Times New Roman" w:eastAsia="黑体" w:hAnsi="Times New Roman" w:cs="黑体"/>
          <w:color w:val="000000" w:themeColor="text1"/>
          <w:kern w:val="44"/>
          <w:sz w:val="36"/>
          <w:szCs w:val="36"/>
        </w:rPr>
      </w:pPr>
      <w:r>
        <w:rPr>
          <w:rFonts w:ascii="Times New Roman" w:eastAsia="黑体" w:hAnsi="Times New Roman" w:cs="黑体" w:hint="eastAsia"/>
          <w:color w:val="000000" w:themeColor="text1"/>
          <w:kern w:val="44"/>
          <w:sz w:val="36"/>
          <w:szCs w:val="36"/>
        </w:rPr>
        <w:t>一、</w:t>
      </w:r>
      <w:r>
        <w:rPr>
          <w:rFonts w:ascii="Times New Roman" w:eastAsia="黑体" w:hAnsi="Times New Roman" w:cs="黑体" w:hint="eastAsia"/>
          <w:color w:val="000000" w:themeColor="text1"/>
          <w:sz w:val="30"/>
          <w:szCs w:val="30"/>
        </w:rPr>
        <w:t>投标人资质要求</w:t>
      </w:r>
    </w:p>
    <w:p w:rsidR="00F048F4" w:rsidRDefault="006B65A1">
      <w:pPr>
        <w:pStyle w:val="10"/>
        <w:ind w:firstLineChars="150" w:firstLine="45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（一）本项目为考试服务类。要求投标人具备有大规模网络阅卷电脑设备保障服务能力（含阅卷电脑硬件配备、网络环境部署、安全监控部署）。具有</w:t>
      </w:r>
      <w:r>
        <w:rPr>
          <w:rFonts w:ascii="Times New Roman" w:eastAsia="仿宋_GB2312" w:hAnsi="Times New Roman"/>
          <w:color w:val="000000" w:themeColor="text1"/>
          <w:sz w:val="30"/>
          <w:szCs w:val="30"/>
        </w:rPr>
        <w:t>3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年以上同类服务经验，良好的诚信记录且无违纪违法行为。</w:t>
      </w:r>
    </w:p>
    <w:p w:rsidR="00F048F4" w:rsidRDefault="006B65A1">
      <w:pPr>
        <w:pStyle w:val="10"/>
        <w:ind w:firstLineChars="150" w:firstLine="45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（二）具有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3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年以上单次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1000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台以上电脑保障服务和网络环境搭建的实际经验，并具备全国设备运送经验和运维能力。</w:t>
      </w:r>
    </w:p>
    <w:p w:rsidR="00F048F4" w:rsidRDefault="006B65A1">
      <w:pPr>
        <w:pStyle w:val="10"/>
        <w:spacing w:beforeLines="50" w:before="156" w:afterLines="50" w:after="156"/>
        <w:ind w:firstLine="600"/>
        <w:outlineLvl w:val="0"/>
        <w:rPr>
          <w:rFonts w:ascii="Times New Roman" w:eastAsia="黑体" w:hAnsi="Times New Roman" w:cs="黑体"/>
          <w:color w:val="000000" w:themeColor="text1"/>
          <w:sz w:val="30"/>
          <w:szCs w:val="30"/>
        </w:rPr>
      </w:pPr>
      <w:bookmarkStart w:id="0" w:name="_Toc38270213"/>
      <w:r>
        <w:rPr>
          <w:rFonts w:ascii="Times New Roman" w:eastAsia="黑体" w:hAnsi="Times New Roman" w:cs="黑体" w:hint="eastAsia"/>
          <w:color w:val="000000" w:themeColor="text1"/>
          <w:sz w:val="30"/>
          <w:szCs w:val="30"/>
        </w:rPr>
        <w:t>二、项目内容</w:t>
      </w:r>
      <w:bookmarkEnd w:id="0"/>
    </w:p>
    <w:p w:rsidR="00F048F4" w:rsidRDefault="006B65A1">
      <w:pPr>
        <w:pStyle w:val="10"/>
        <w:ind w:firstLineChars="189" w:firstLine="567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（一）为考试笔试阅卷工作（答题卡扫描、标答制订和评卷）提供计算机保障服务、服务器保障服务、网络部署、电力部署、监控设备部署、语音系统部署、安全防护系统部署等。</w:t>
      </w:r>
    </w:p>
    <w:p w:rsidR="00F048F4" w:rsidRDefault="006B65A1">
      <w:pPr>
        <w:pStyle w:val="10"/>
        <w:ind w:firstLineChars="189" w:firstLine="567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（二）提供设备保障服务配套的技术支持和应急处置方案。及时、妥善处理电脑损坏、鼠标或小键盘失灵、网络中断等突发情况。</w:t>
      </w:r>
    </w:p>
    <w:p w:rsidR="00F048F4" w:rsidRDefault="006B65A1">
      <w:pPr>
        <w:pStyle w:val="10"/>
        <w:ind w:firstLineChars="189" w:firstLine="567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（三）提供设备保障配套的运送服务。阅卷点分布在各地，须按要求在规定时间内将规定数量的设备运送至指定地点。</w:t>
      </w:r>
      <w:bookmarkStart w:id="1" w:name="_Toc38270214"/>
    </w:p>
    <w:p w:rsidR="00F048F4" w:rsidRDefault="006B65A1">
      <w:pPr>
        <w:pStyle w:val="10"/>
        <w:spacing w:beforeLines="50" w:before="156" w:afterLines="50" w:after="156"/>
        <w:ind w:firstLine="600"/>
        <w:rPr>
          <w:rFonts w:ascii="Times New Roman" w:eastAsia="黑体" w:hAnsi="Times New Roman" w:cs="黑体"/>
          <w:color w:val="000000" w:themeColor="text1"/>
          <w:sz w:val="30"/>
          <w:szCs w:val="30"/>
        </w:rPr>
      </w:pPr>
      <w:r>
        <w:rPr>
          <w:rFonts w:ascii="Times New Roman" w:eastAsia="黑体" w:hAnsi="Times New Roman" w:cs="黑体" w:hint="eastAsia"/>
          <w:color w:val="000000" w:themeColor="text1"/>
          <w:sz w:val="30"/>
          <w:szCs w:val="30"/>
        </w:rPr>
        <w:t>三、主要业务流程</w:t>
      </w:r>
      <w:bookmarkEnd w:id="1"/>
    </w:p>
    <w:p w:rsidR="00F048F4" w:rsidRDefault="006B65A1">
      <w:pPr>
        <w:pStyle w:val="10"/>
        <w:numPr>
          <w:ilvl w:val="0"/>
          <w:numId w:val="1"/>
        </w:numPr>
        <w:ind w:firstLineChars="0"/>
        <w:outlineLvl w:val="1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阅卷前准备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1.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阅卷系统运行测试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lastRenderedPageBreak/>
        <w:t>配合阅卷技术公司对阅卷电脑设备、网络通信等情况进行阅卷系统的运行测试，确保阅卷系统运行顺畅，无网络延迟、卡顿等情况。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2.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设备准备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按照阅卷所需的设备数量和要求进行准备，提前对设备质量状况进行测试，根据阅卷点场地情况做好设备部署方案，同时要做好应急处置方案，按照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10%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以上的比例做好备用电脑及相关设备的应急准备，按照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1:1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的比例做好服务器的应急准备。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3.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设备运送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按照阅卷规定时间将所需设备运送至阅卷点指定地点。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4.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设备部署和调试</w:t>
      </w:r>
      <w:bookmarkStart w:id="2" w:name="_GoBack"/>
      <w:bookmarkEnd w:id="2"/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按照阅卷点实际情况进行设备安装、网络布置、电力布置、安全防护、视频监控等环境搭建工作，做好调试工作和病毒防护工作；完成部署后，按照验收单进行逐项检查，并提供签字确认的验收单。</w:t>
      </w:r>
    </w:p>
    <w:p w:rsidR="00F048F4" w:rsidRDefault="006B65A1">
      <w:pPr>
        <w:ind w:firstLineChars="200" w:firstLine="600"/>
        <w:outlineLvl w:val="1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（二）阅卷实施</w:t>
      </w:r>
    </w:p>
    <w:p w:rsidR="00F048F4" w:rsidRDefault="006B65A1">
      <w:pPr>
        <w:ind w:firstLineChars="200" w:firstLine="600"/>
        <w:outlineLvl w:val="1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1.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技术支持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配备专业化、足够数量、保密意识强的技术人员，实时解决阅卷工作中硬件、网络等问题。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2.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安全检查和备份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对阅卷场所的安全防护系统和设备进行定期检查和数据备份，对服务器重要数据进行安全检查和备份，确保阅卷期间设备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lastRenderedPageBreak/>
        <w:t>正常稳定运行。</w:t>
      </w:r>
    </w:p>
    <w:p w:rsidR="00F048F4" w:rsidRDefault="006B65A1">
      <w:pPr>
        <w:ind w:firstLineChars="200" w:firstLine="600"/>
        <w:outlineLvl w:val="1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（三）阅卷收尾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1.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数据清理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按照保密要求，将监控记录硬盘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提交人社部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考试中心，同时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将服务器、电脑及人脸识别等所有设备上的数据进行彻底删除，确保不可恢复。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2.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设备离场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阅卷工作结束后，在规定时间内将所有临时架设的设备撤离工作场所。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3.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提交报告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阅卷工作结束后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15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个工作日内，提交项目实施情况报告。</w:t>
      </w:r>
    </w:p>
    <w:p w:rsidR="00F048F4" w:rsidRDefault="006B65A1">
      <w:pPr>
        <w:spacing w:beforeLines="50" w:before="156" w:afterLines="50" w:after="156"/>
        <w:ind w:firstLineChars="200" w:firstLine="600"/>
        <w:outlineLvl w:val="0"/>
        <w:rPr>
          <w:rFonts w:ascii="Times New Roman" w:eastAsia="黑体" w:hAnsi="Times New Roman" w:cs="黑体"/>
          <w:color w:val="000000" w:themeColor="text1"/>
          <w:sz w:val="30"/>
          <w:szCs w:val="30"/>
        </w:rPr>
      </w:pPr>
      <w:bookmarkStart w:id="3" w:name="_Toc38270215"/>
      <w:r>
        <w:rPr>
          <w:rFonts w:ascii="Times New Roman" w:eastAsia="黑体" w:hAnsi="Times New Roman" w:cs="黑体" w:hint="eastAsia"/>
          <w:color w:val="000000" w:themeColor="text1"/>
          <w:sz w:val="30"/>
          <w:szCs w:val="30"/>
        </w:rPr>
        <w:t>四、实施基本要求</w:t>
      </w:r>
      <w:bookmarkEnd w:id="3"/>
    </w:p>
    <w:p w:rsidR="00F048F4" w:rsidRDefault="006B65A1">
      <w:pPr>
        <w:pStyle w:val="10"/>
        <w:numPr>
          <w:ilvl w:val="255"/>
          <w:numId w:val="0"/>
        </w:numPr>
        <w:ind w:left="640"/>
        <w:outlineLvl w:val="1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（一）完备性</w:t>
      </w:r>
    </w:p>
    <w:p w:rsidR="00F048F4" w:rsidRDefault="006B65A1">
      <w:pPr>
        <w:ind w:firstLineChars="200" w:firstLine="600"/>
        <w:outlineLvl w:val="1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根据阅卷要求和各阅卷点实际情况，制定完善的设备租赁保障服务实施方案，列明各阅卷点实施计划、时间节点、人员保障、设备准备、设备部署、运输计划、安全保障、技术支持等。</w:t>
      </w:r>
    </w:p>
    <w:p w:rsidR="00F048F4" w:rsidRDefault="006B65A1">
      <w:pPr>
        <w:pStyle w:val="10"/>
        <w:numPr>
          <w:ilvl w:val="255"/>
          <w:numId w:val="0"/>
        </w:numPr>
        <w:ind w:firstLineChars="200" w:firstLine="600"/>
        <w:outlineLvl w:val="1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（二）安全性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1.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确保搭建的局域网数据通信安全，确保电脑设备屏蔽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U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盘、移动硬盘等存储类外设接口，但不影响数字小键盘、打印机等非存储类外设的正常使用，确保服务器数据安全。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2.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搭建的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电力线缆需满足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安全用电要求。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3.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确保阅卷场地安全监控无死角。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lastRenderedPageBreak/>
        <w:t>4.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参与此项工作的人员须签订保密责任书，承担相应安全保密责任。</w:t>
      </w:r>
    </w:p>
    <w:p w:rsidR="00F048F4" w:rsidRDefault="006B65A1">
      <w:pPr>
        <w:pStyle w:val="10"/>
        <w:numPr>
          <w:ilvl w:val="255"/>
          <w:numId w:val="0"/>
        </w:numPr>
        <w:ind w:left="640"/>
        <w:outlineLvl w:val="1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（三）稳定性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1.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确保提供的所有设备、软硬件稳定运行，特别要保证服务器的平稳可靠，各个阅卷点整套设备的故障率，不能超过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5%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（含服务器、计算机、鼠标、耳机）。设备运送、部署、运维等各项工作衔接要有序进行，确保万无一失。</w:t>
      </w:r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2.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做好突发情况应急处理预案，及时稳妥处理设备运送、环境搭建和阅卷期间有可能出现的异常情况，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确保第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一时间响应和解决问题，不得影响阅卷工作进展。特别要做好服务器数据备份和巡检工作，对有可能发生的服务器断电、内存损坏等情况做好应急处置方案。</w:t>
      </w:r>
    </w:p>
    <w:p w:rsidR="00F048F4" w:rsidRDefault="006B65A1">
      <w:pPr>
        <w:pStyle w:val="10"/>
        <w:numPr>
          <w:ilvl w:val="255"/>
          <w:numId w:val="0"/>
        </w:numPr>
        <w:ind w:left="640"/>
        <w:outlineLvl w:val="1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（四）时效性</w:t>
      </w:r>
    </w:p>
    <w:p w:rsidR="00F048F4" w:rsidRDefault="006B65A1">
      <w:pPr>
        <w:ind w:firstLineChars="200" w:firstLine="600"/>
        <w:rPr>
          <w:rFonts w:ascii="Times New Roman" w:eastAsia="黑体" w:hAnsi="Times New Roman" w:cs="黑体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阅卷周期长，各项工作衔接紧密，时效性要求突出，要确保在规定时间内完成相应工作，不得拖延。</w:t>
      </w:r>
      <w:bookmarkStart w:id="4" w:name="_Toc38270216"/>
    </w:p>
    <w:p w:rsidR="00F048F4" w:rsidRDefault="006B65A1">
      <w:pPr>
        <w:widowControl/>
        <w:rPr>
          <w:rFonts w:ascii="Times New Roman" w:eastAsia="黑体" w:hAnsi="Times New Roman" w:cs="黑体"/>
          <w:color w:val="000000" w:themeColor="text1"/>
          <w:sz w:val="30"/>
          <w:szCs w:val="30"/>
        </w:rPr>
      </w:pPr>
      <w:r>
        <w:rPr>
          <w:rFonts w:ascii="Times New Roman" w:eastAsia="黑体" w:hAnsi="Times New Roman" w:cs="黑体"/>
          <w:color w:val="000000" w:themeColor="text1"/>
          <w:sz w:val="30"/>
          <w:szCs w:val="30"/>
        </w:rPr>
        <w:br w:type="page"/>
      </w:r>
    </w:p>
    <w:p w:rsidR="00F048F4" w:rsidRDefault="006B65A1">
      <w:pPr>
        <w:spacing w:beforeLines="50" w:before="156" w:afterLines="50" w:after="156"/>
        <w:ind w:firstLineChars="200" w:firstLine="600"/>
        <w:outlineLvl w:val="0"/>
        <w:rPr>
          <w:rFonts w:ascii="Times New Roman" w:eastAsia="黑体" w:hAnsi="Times New Roman" w:cs="黑体"/>
          <w:color w:val="000000" w:themeColor="text1"/>
          <w:sz w:val="30"/>
          <w:szCs w:val="30"/>
        </w:rPr>
      </w:pPr>
      <w:r>
        <w:rPr>
          <w:rFonts w:ascii="Times New Roman" w:eastAsia="黑体" w:hAnsi="Times New Roman" w:cs="黑体" w:hint="eastAsia"/>
          <w:color w:val="000000" w:themeColor="text1"/>
          <w:sz w:val="30"/>
          <w:szCs w:val="30"/>
        </w:rPr>
        <w:lastRenderedPageBreak/>
        <w:t>五、硬件设备要求</w:t>
      </w:r>
      <w:bookmarkEnd w:id="4"/>
    </w:p>
    <w:p w:rsidR="00F048F4" w:rsidRDefault="006B65A1">
      <w:pPr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电脑、服务器、网络及相关设备规格要求如下：</w:t>
      </w:r>
    </w:p>
    <w:tbl>
      <w:tblPr>
        <w:tblStyle w:val="a8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4819"/>
        <w:gridCol w:w="1497"/>
      </w:tblGrid>
      <w:tr w:rsidR="00F048F4">
        <w:trPr>
          <w:jc w:val="center"/>
        </w:trPr>
        <w:tc>
          <w:tcPr>
            <w:tcW w:w="1980" w:type="dxa"/>
            <w:vAlign w:val="center"/>
          </w:tcPr>
          <w:p w:rsidR="00F048F4" w:rsidRDefault="006B65A1">
            <w:pPr>
              <w:spacing w:beforeLines="50" w:before="156" w:afterLines="50" w:after="156" w:line="4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0"/>
              </w:rPr>
            </w:pPr>
            <w:bookmarkStart w:id="5" w:name="_Toc38270217"/>
            <w:r>
              <w:rPr>
                <w:rFonts w:ascii="Times New Roman" w:eastAsia="仿宋_GB2312" w:hAnsi="Times New Roman" w:hint="eastAsia"/>
                <w:b/>
                <w:kern w:val="0"/>
                <w:sz w:val="28"/>
                <w:szCs w:val="20"/>
              </w:rPr>
              <w:t>服务名称</w:t>
            </w:r>
          </w:p>
        </w:tc>
        <w:tc>
          <w:tcPr>
            <w:tcW w:w="4819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8"/>
                <w:szCs w:val="20"/>
              </w:rPr>
              <w:t>规格要求</w:t>
            </w:r>
          </w:p>
        </w:tc>
        <w:tc>
          <w:tcPr>
            <w:tcW w:w="1497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8"/>
                <w:szCs w:val="20"/>
              </w:rPr>
              <w:t>备注</w:t>
            </w:r>
          </w:p>
        </w:tc>
      </w:tr>
      <w:tr w:rsidR="00F048F4">
        <w:trPr>
          <w:trHeight w:val="926"/>
          <w:jc w:val="center"/>
        </w:trPr>
        <w:tc>
          <w:tcPr>
            <w:tcW w:w="1980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通用电脑及附件</w:t>
            </w:r>
          </w:p>
        </w:tc>
        <w:tc>
          <w:tcPr>
            <w:tcW w:w="4819" w:type="dxa"/>
            <w:vAlign w:val="center"/>
          </w:tcPr>
          <w:p w:rsidR="00F048F4" w:rsidRDefault="006B65A1">
            <w:pPr>
              <w:spacing w:beforeLines="50" w:before="156" w:afterLines="50" w:after="156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CPU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：酷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睿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i3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及以上（或同等级性能的其他品牌处理器），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8GB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及以上内存，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120-160GB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硬盘，集成或独立显卡，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19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寸以上显示器，电源适配器，鼠标，数字小键盘</w:t>
            </w:r>
          </w:p>
        </w:tc>
        <w:tc>
          <w:tcPr>
            <w:tcW w:w="1497" w:type="dxa"/>
            <w:vAlign w:val="center"/>
          </w:tcPr>
          <w:p w:rsidR="00F048F4" w:rsidRDefault="006B65A1">
            <w:pPr>
              <w:spacing w:beforeLines="50" w:before="156" w:afterLines="50" w:after="156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主要用于标答点、阅卷点，以及扫描点一般情况下使用</w:t>
            </w:r>
          </w:p>
        </w:tc>
      </w:tr>
      <w:tr w:rsidR="00F048F4">
        <w:trPr>
          <w:trHeight w:val="1690"/>
          <w:jc w:val="center"/>
        </w:trPr>
        <w:tc>
          <w:tcPr>
            <w:tcW w:w="1980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通用服务器及附件</w:t>
            </w:r>
          </w:p>
        </w:tc>
        <w:tc>
          <w:tcPr>
            <w:tcW w:w="4819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Intel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至强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E5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八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核及以上处理器，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16GB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及以上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ECC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内存，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Intel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认证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SSD 480-800GB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硬盘（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片），内置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RAID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卡，内置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DVD-RW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，双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1000Mbps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网卡，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LED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显示器，键盘和鼠标，不间断电源（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UPS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）（用于扫描点的通用服务器硬盘空间不小于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4T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）</w:t>
            </w:r>
          </w:p>
        </w:tc>
        <w:tc>
          <w:tcPr>
            <w:tcW w:w="1497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主要用于标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答点、阅卷点，以及扫描点一般情况下使用</w:t>
            </w:r>
          </w:p>
        </w:tc>
      </w:tr>
      <w:tr w:rsidR="00F048F4">
        <w:trPr>
          <w:trHeight w:val="1403"/>
          <w:jc w:val="center"/>
        </w:trPr>
        <w:tc>
          <w:tcPr>
            <w:tcW w:w="1980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网络及附件</w:t>
            </w:r>
          </w:p>
        </w:tc>
        <w:tc>
          <w:tcPr>
            <w:tcW w:w="4819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主干网络通信线路采用六类双绞线，桌面通信线路采用超五类双绞线，网络铺设到每个终端，包括服务器，确保通信性能良好</w:t>
            </w:r>
          </w:p>
        </w:tc>
        <w:tc>
          <w:tcPr>
            <w:tcW w:w="1497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通用</w:t>
            </w:r>
          </w:p>
        </w:tc>
      </w:tr>
      <w:tr w:rsidR="00F048F4">
        <w:trPr>
          <w:trHeight w:val="984"/>
          <w:jc w:val="center"/>
        </w:trPr>
        <w:tc>
          <w:tcPr>
            <w:tcW w:w="1980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电力及附件</w:t>
            </w:r>
          </w:p>
        </w:tc>
        <w:tc>
          <w:tcPr>
            <w:tcW w:w="4819" w:type="dxa"/>
            <w:vAlign w:val="center"/>
          </w:tcPr>
          <w:p w:rsidR="00F048F4" w:rsidRDefault="006B65A1">
            <w:pPr>
              <w:spacing w:beforeLines="50" w:before="156" w:afterLines="50" w:after="156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主干电力线路采用纯铜电缆，终端电力线路采用纯铜电线，电力线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缆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铺设到每个用电终端，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且做好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接地处理，电力线缆的最大负荷量和安全载流量应满足各阅卷点使用需求</w:t>
            </w:r>
          </w:p>
        </w:tc>
        <w:tc>
          <w:tcPr>
            <w:tcW w:w="1497" w:type="dxa"/>
            <w:vAlign w:val="center"/>
          </w:tcPr>
          <w:p w:rsidR="00F048F4" w:rsidRDefault="006B65A1">
            <w:pPr>
              <w:spacing w:beforeLines="50" w:before="156" w:afterLines="50" w:after="156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通用</w:t>
            </w:r>
          </w:p>
        </w:tc>
      </w:tr>
      <w:tr w:rsidR="00F048F4">
        <w:trPr>
          <w:trHeight w:val="896"/>
          <w:jc w:val="center"/>
        </w:trPr>
        <w:tc>
          <w:tcPr>
            <w:tcW w:w="1980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软件系统预装</w:t>
            </w:r>
          </w:p>
        </w:tc>
        <w:tc>
          <w:tcPr>
            <w:tcW w:w="4819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电脑预装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XP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或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WIN7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系统，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WORD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软件、中文输入法、语音同步系统，对网络和系统参数做好调整</w:t>
            </w:r>
          </w:p>
        </w:tc>
        <w:tc>
          <w:tcPr>
            <w:tcW w:w="1497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通用</w:t>
            </w:r>
          </w:p>
        </w:tc>
      </w:tr>
      <w:tr w:rsidR="00F048F4">
        <w:trPr>
          <w:trHeight w:val="1538"/>
          <w:jc w:val="center"/>
        </w:trPr>
        <w:tc>
          <w:tcPr>
            <w:tcW w:w="1980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工作场地监控</w:t>
            </w:r>
          </w:p>
        </w:tc>
        <w:tc>
          <w:tcPr>
            <w:tcW w:w="4819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在工作场地内，基于场地四个方位和服务器的安装位置各设置一个高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清数字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监控视角，对整个工作过程进行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小时不间断的监控录像服务；工作结束后，将全部录像文件交付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给考试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中心派驻现场的负责人</w:t>
            </w:r>
          </w:p>
        </w:tc>
        <w:tc>
          <w:tcPr>
            <w:tcW w:w="1497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主要用于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标答点和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阅卷点</w:t>
            </w:r>
          </w:p>
        </w:tc>
      </w:tr>
      <w:tr w:rsidR="00F048F4">
        <w:trPr>
          <w:trHeight w:val="1002"/>
          <w:jc w:val="center"/>
        </w:trPr>
        <w:tc>
          <w:tcPr>
            <w:tcW w:w="1980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安全防护系统</w:t>
            </w:r>
          </w:p>
        </w:tc>
        <w:tc>
          <w:tcPr>
            <w:tcW w:w="4819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确保服务器和电脑终端通信安全、数据安全及阅卷结束后数据彻底销毁</w:t>
            </w:r>
          </w:p>
        </w:tc>
        <w:tc>
          <w:tcPr>
            <w:tcW w:w="1497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通用</w:t>
            </w:r>
          </w:p>
        </w:tc>
      </w:tr>
      <w:tr w:rsidR="00F048F4">
        <w:trPr>
          <w:trHeight w:val="606"/>
          <w:jc w:val="center"/>
        </w:trPr>
        <w:tc>
          <w:tcPr>
            <w:tcW w:w="1980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辅助设备</w:t>
            </w:r>
          </w:p>
        </w:tc>
        <w:tc>
          <w:tcPr>
            <w:tcW w:w="4819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安检门、耳机、电脑支架、便携麦克等</w:t>
            </w:r>
          </w:p>
        </w:tc>
        <w:tc>
          <w:tcPr>
            <w:tcW w:w="1497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通用</w:t>
            </w:r>
          </w:p>
        </w:tc>
      </w:tr>
      <w:tr w:rsidR="00F048F4">
        <w:trPr>
          <w:trHeight w:val="606"/>
          <w:jc w:val="center"/>
        </w:trPr>
        <w:tc>
          <w:tcPr>
            <w:tcW w:w="1980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48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口千兆交换机保障服务</w:t>
            </w:r>
          </w:p>
        </w:tc>
        <w:tc>
          <w:tcPr>
            <w:tcW w:w="4819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企业级三层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48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口千兆交换机</w:t>
            </w:r>
          </w:p>
        </w:tc>
        <w:tc>
          <w:tcPr>
            <w:tcW w:w="1497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专门用于扫描点</w:t>
            </w:r>
          </w:p>
        </w:tc>
      </w:tr>
      <w:tr w:rsidR="00F048F4">
        <w:trPr>
          <w:trHeight w:val="606"/>
          <w:jc w:val="center"/>
        </w:trPr>
        <w:tc>
          <w:tcPr>
            <w:tcW w:w="1980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lastRenderedPageBreak/>
              <w:t>高性能笔记本电脑及附件</w:t>
            </w:r>
          </w:p>
        </w:tc>
        <w:tc>
          <w:tcPr>
            <w:tcW w:w="4819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CPU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：酷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睿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i7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及以上（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12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代）；</w:t>
            </w:r>
          </w:p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内核数：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8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个及以上；</w:t>
            </w:r>
          </w:p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内存：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8G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及以上；</w:t>
            </w:r>
          </w:p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硬盘：固态，单个磁盘可用空间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300G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及以上；</w:t>
            </w:r>
          </w:p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系统：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64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位，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win7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、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win10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、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win11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；</w:t>
            </w:r>
          </w:p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网卡：千兆，带网口；</w:t>
            </w:r>
          </w:p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接口：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USB3.0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；</w:t>
            </w:r>
          </w:p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显示器，电源适配器，鼠标，数字小键盘等。</w:t>
            </w:r>
          </w:p>
        </w:tc>
        <w:tc>
          <w:tcPr>
            <w:tcW w:w="1497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专门用于扫描点</w:t>
            </w:r>
          </w:p>
        </w:tc>
      </w:tr>
      <w:tr w:rsidR="00F048F4">
        <w:trPr>
          <w:trHeight w:val="606"/>
          <w:jc w:val="center"/>
        </w:trPr>
        <w:tc>
          <w:tcPr>
            <w:tcW w:w="1980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图像处理服务器及附件</w:t>
            </w:r>
          </w:p>
        </w:tc>
        <w:tc>
          <w:tcPr>
            <w:tcW w:w="4819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用于部署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AI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模型识别服务，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Intel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至强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E5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十六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核处理器及以上，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NVIDIA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显卡（型号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Tesla-P100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及以上，显存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16G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及以上，数量四块及以上），内存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128G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及以上，存储硬盘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SSD 1T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及以上（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 xml:space="preserve">Intel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认证），双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1000Mbps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网卡，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LED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显示器，键盘，鼠标，操作系统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Ubuntu 20.04</w:t>
            </w:r>
          </w:p>
        </w:tc>
        <w:tc>
          <w:tcPr>
            <w:tcW w:w="1497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专门用于扫描点</w:t>
            </w:r>
          </w:p>
        </w:tc>
      </w:tr>
      <w:tr w:rsidR="00F048F4">
        <w:trPr>
          <w:trHeight w:val="606"/>
          <w:jc w:val="center"/>
        </w:trPr>
        <w:tc>
          <w:tcPr>
            <w:tcW w:w="1980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答题卡扫描设备监控</w:t>
            </w:r>
          </w:p>
        </w:tc>
        <w:tc>
          <w:tcPr>
            <w:tcW w:w="4819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在答题卡扫描场地内，对每台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扫卡设备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及每个关键区域配备一个高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清数字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监控视角，对整个答题卡扫描过程进行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小时不间断的监控录像服务；答题卡扫描工作期间，采取相关措施，确保视频监控能够正常运行、存储及回放；答题卡扫描工作结束后，将全部录像文件交付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给考试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中心派驻现场的负责人</w:t>
            </w:r>
          </w:p>
        </w:tc>
        <w:tc>
          <w:tcPr>
            <w:tcW w:w="1497" w:type="dxa"/>
            <w:vAlign w:val="center"/>
          </w:tcPr>
          <w:p w:rsidR="00F048F4" w:rsidRDefault="006B65A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0"/>
              </w:rPr>
              <w:t>专门用于扫描点</w:t>
            </w:r>
          </w:p>
        </w:tc>
      </w:tr>
    </w:tbl>
    <w:p w:rsidR="00F048F4" w:rsidRDefault="006B65A1">
      <w:pPr>
        <w:pStyle w:val="1"/>
        <w:keepNext w:val="0"/>
        <w:keepLines w:val="0"/>
        <w:spacing w:before="0" w:after="0" w:line="240" w:lineRule="auto"/>
        <w:rPr>
          <w:rFonts w:ascii="Times New Roman" w:eastAsia="仿宋" w:hAnsi="Times New Roman"/>
          <w:bCs w:val="0"/>
          <w:color w:val="000000" w:themeColor="text1"/>
          <w:kern w:val="2"/>
          <w:sz w:val="30"/>
          <w:szCs w:val="30"/>
        </w:rPr>
      </w:pPr>
      <w:r>
        <w:rPr>
          <w:rFonts w:ascii="Times New Roman" w:eastAsia="仿宋" w:hAnsi="Times New Roman" w:hint="eastAsia"/>
          <w:bCs w:val="0"/>
          <w:color w:val="000000" w:themeColor="text1"/>
          <w:kern w:val="2"/>
          <w:sz w:val="30"/>
          <w:szCs w:val="30"/>
        </w:rPr>
        <w:t>注：因设备不符合要求导致阅卷工作无法正常进行的，最终结算时，将视具体影响程度按合同约定的比例进行扣款，并将视情取消后续</w:t>
      </w:r>
      <w:r>
        <w:rPr>
          <w:rFonts w:ascii="Times New Roman" w:eastAsia="仿宋" w:hAnsi="Times New Roman" w:hint="eastAsia"/>
          <w:bCs w:val="0"/>
          <w:color w:val="000000" w:themeColor="text1"/>
          <w:kern w:val="2"/>
          <w:sz w:val="30"/>
          <w:szCs w:val="30"/>
        </w:rPr>
        <w:t>3</w:t>
      </w:r>
      <w:r>
        <w:rPr>
          <w:rFonts w:ascii="Times New Roman" w:eastAsia="仿宋" w:hAnsi="Times New Roman" w:hint="eastAsia"/>
          <w:bCs w:val="0"/>
          <w:color w:val="000000" w:themeColor="text1"/>
          <w:kern w:val="2"/>
          <w:sz w:val="30"/>
          <w:szCs w:val="30"/>
        </w:rPr>
        <w:t>年的投标资质。</w:t>
      </w:r>
    </w:p>
    <w:p w:rsidR="00F048F4" w:rsidRDefault="00F048F4">
      <w:pPr>
        <w:pStyle w:val="1"/>
        <w:keepNext w:val="0"/>
        <w:keepLines w:val="0"/>
        <w:spacing w:before="0" w:after="0" w:line="240" w:lineRule="auto"/>
        <w:rPr>
          <w:rFonts w:ascii="Times New Roman" w:eastAsia="仿宋" w:hAnsi="Times New Roman"/>
          <w:bCs w:val="0"/>
          <w:color w:val="000000" w:themeColor="text1"/>
          <w:kern w:val="2"/>
          <w:sz w:val="30"/>
          <w:szCs w:val="30"/>
        </w:rPr>
      </w:pPr>
    </w:p>
    <w:p w:rsidR="00F048F4" w:rsidRDefault="006B65A1">
      <w:pPr>
        <w:pStyle w:val="1"/>
        <w:keepNext w:val="0"/>
        <w:keepLines w:val="0"/>
        <w:spacing w:before="0" w:after="0" w:line="240" w:lineRule="auto"/>
        <w:rPr>
          <w:rFonts w:ascii="Times New Roman" w:eastAsia="黑体" w:hAnsi="Times New Roman" w:cs="黑体"/>
          <w:color w:val="000000" w:themeColor="text1"/>
          <w:sz w:val="30"/>
          <w:szCs w:val="30"/>
        </w:rPr>
      </w:pPr>
      <w:r>
        <w:rPr>
          <w:rFonts w:ascii="Times New Roman" w:eastAsia="黑体" w:hAnsi="Times New Roman" w:cs="黑体" w:hint="eastAsia"/>
          <w:color w:val="000000" w:themeColor="text1"/>
          <w:sz w:val="30"/>
          <w:szCs w:val="30"/>
        </w:rPr>
        <w:br w:type="page"/>
      </w:r>
    </w:p>
    <w:p w:rsidR="00F048F4" w:rsidRDefault="006B65A1">
      <w:pPr>
        <w:pStyle w:val="1"/>
        <w:keepNext w:val="0"/>
        <w:keepLines w:val="0"/>
        <w:spacing w:before="0" w:after="0" w:line="240" w:lineRule="auto"/>
        <w:rPr>
          <w:rFonts w:ascii="Times New Roman" w:eastAsia="黑体" w:hAnsi="Times New Roman" w:cs="黑体"/>
          <w:b w:val="0"/>
          <w:bCs w:val="0"/>
          <w:color w:val="000000" w:themeColor="text1"/>
          <w:sz w:val="30"/>
          <w:szCs w:val="30"/>
        </w:rPr>
      </w:pPr>
      <w:r>
        <w:rPr>
          <w:rFonts w:ascii="Times New Roman" w:eastAsia="黑体" w:hAnsi="Times New Roman" w:cs="黑体" w:hint="eastAsia"/>
          <w:b w:val="0"/>
          <w:bCs w:val="0"/>
          <w:color w:val="000000" w:themeColor="text1"/>
          <w:sz w:val="30"/>
          <w:szCs w:val="30"/>
        </w:rPr>
        <w:lastRenderedPageBreak/>
        <w:t>六、</w:t>
      </w:r>
      <w:bookmarkEnd w:id="5"/>
      <w:r>
        <w:rPr>
          <w:rFonts w:ascii="Times New Roman" w:eastAsia="黑体" w:hAnsi="Times New Roman" w:cs="黑体" w:hint="eastAsia"/>
          <w:b w:val="0"/>
          <w:bCs w:val="0"/>
          <w:color w:val="000000" w:themeColor="text1"/>
          <w:sz w:val="30"/>
          <w:szCs w:val="30"/>
        </w:rPr>
        <w:t>硬件设备总体需求</w:t>
      </w:r>
    </w:p>
    <w:p w:rsidR="00F048F4" w:rsidRDefault="006B65A1">
      <w:pPr>
        <w:spacing w:afterLines="50" w:after="156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根据工作需要，大约在全国设置</w:t>
      </w:r>
      <w:r>
        <w:rPr>
          <w:rFonts w:ascii="Times New Roman" w:eastAsia="仿宋_GB2312" w:hAnsi="Times New Roman" w:hint="eastAsia"/>
          <w:sz w:val="32"/>
        </w:rPr>
        <w:t>9</w:t>
      </w:r>
      <w:r>
        <w:rPr>
          <w:rFonts w:ascii="Times New Roman" w:eastAsia="仿宋_GB2312" w:hAnsi="Times New Roman" w:hint="eastAsia"/>
          <w:sz w:val="32"/>
        </w:rPr>
        <w:t>个阅卷点、</w:t>
      </w:r>
      <w:r>
        <w:rPr>
          <w:rFonts w:ascii="Times New Roman" w:eastAsia="仿宋_GB2312" w:hAnsi="Times New Roman" w:hint="eastAsia"/>
          <w:sz w:val="32"/>
        </w:rPr>
        <w:t>1</w:t>
      </w:r>
      <w:r>
        <w:rPr>
          <w:rFonts w:ascii="Times New Roman" w:eastAsia="仿宋_GB2312" w:hAnsi="Times New Roman" w:hint="eastAsia"/>
          <w:sz w:val="32"/>
        </w:rPr>
        <w:t>个答题卡扫描点和</w:t>
      </w:r>
      <w:r>
        <w:rPr>
          <w:rFonts w:ascii="Times New Roman" w:eastAsia="仿宋_GB2312" w:hAnsi="Times New Roman" w:hint="eastAsia"/>
          <w:sz w:val="32"/>
        </w:rPr>
        <w:t>1</w:t>
      </w:r>
      <w:r>
        <w:rPr>
          <w:rFonts w:ascii="Times New Roman" w:eastAsia="仿宋_GB2312" w:hAnsi="Times New Roman" w:hint="eastAsia"/>
          <w:sz w:val="32"/>
        </w:rPr>
        <w:t>个标答点，设备需求</w:t>
      </w:r>
      <w:r>
        <w:rPr>
          <w:rFonts w:ascii="Times New Roman" w:eastAsia="仿宋_GB2312" w:hAnsi="Times New Roman" w:hint="eastAsia"/>
          <w:sz w:val="32"/>
        </w:rPr>
        <w:t>3300</w:t>
      </w:r>
      <w:r>
        <w:rPr>
          <w:rFonts w:ascii="Times New Roman" w:eastAsia="仿宋_GB2312" w:hAnsi="Times New Roman" w:hint="eastAsia"/>
          <w:sz w:val="32"/>
        </w:rPr>
        <w:t>台通用电脑和</w:t>
      </w:r>
      <w:r>
        <w:rPr>
          <w:rFonts w:ascii="Times New Roman" w:eastAsia="仿宋_GB2312" w:hAnsi="Times New Roman" w:hint="eastAsia"/>
          <w:sz w:val="32"/>
        </w:rPr>
        <w:t>30</w:t>
      </w:r>
      <w:r>
        <w:rPr>
          <w:rFonts w:ascii="Times New Roman" w:eastAsia="仿宋_GB2312" w:hAnsi="Times New Roman" w:hint="eastAsia"/>
          <w:sz w:val="32"/>
        </w:rPr>
        <w:t>台服务器及相应配套服务。相应设备及服务总体需求如下：</w:t>
      </w:r>
    </w:p>
    <w:tbl>
      <w:tblPr>
        <w:tblStyle w:val="a8"/>
        <w:tblW w:w="8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0"/>
        <w:gridCol w:w="1428"/>
        <w:gridCol w:w="1310"/>
        <w:gridCol w:w="2435"/>
        <w:gridCol w:w="700"/>
        <w:gridCol w:w="936"/>
        <w:gridCol w:w="749"/>
      </w:tblGrid>
      <w:tr w:rsidR="00F048F4">
        <w:trPr>
          <w:trHeight w:val="719"/>
          <w:jc w:val="center"/>
        </w:trPr>
        <w:tc>
          <w:tcPr>
            <w:tcW w:w="66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8" w:type="dxa"/>
            <w:gridSpan w:val="2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2435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设备性能及服务内容</w:t>
            </w:r>
          </w:p>
        </w:tc>
        <w:tc>
          <w:tcPr>
            <w:tcW w:w="70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36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749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备注</w:t>
            </w:r>
          </w:p>
        </w:tc>
      </w:tr>
      <w:tr w:rsidR="00F048F4">
        <w:trPr>
          <w:trHeight w:val="1068"/>
          <w:jc w:val="center"/>
        </w:trPr>
        <w:tc>
          <w:tcPr>
            <w:tcW w:w="66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38" w:type="dxa"/>
            <w:gridSpan w:val="2"/>
            <w:vAlign w:val="center"/>
          </w:tcPr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通用服务器及附件保障服务</w:t>
            </w:r>
          </w:p>
        </w:tc>
        <w:tc>
          <w:tcPr>
            <w:tcW w:w="2435" w:type="dxa"/>
            <w:vAlign w:val="center"/>
          </w:tcPr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需标注阅卷服务器及附件的平均已使用时长（以年为单位）</w:t>
            </w:r>
          </w:p>
        </w:tc>
        <w:tc>
          <w:tcPr>
            <w:tcW w:w="70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6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49" w:type="dxa"/>
            <w:vMerge w:val="restart"/>
            <w:vAlign w:val="center"/>
          </w:tcPr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考试服务类</w:t>
            </w:r>
          </w:p>
        </w:tc>
      </w:tr>
      <w:tr w:rsidR="00F048F4">
        <w:trPr>
          <w:trHeight w:val="1068"/>
          <w:jc w:val="center"/>
        </w:trPr>
        <w:tc>
          <w:tcPr>
            <w:tcW w:w="66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38" w:type="dxa"/>
            <w:gridSpan w:val="2"/>
            <w:vAlign w:val="center"/>
          </w:tcPr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图像处理服务器及附件保障服务</w:t>
            </w:r>
          </w:p>
        </w:tc>
        <w:tc>
          <w:tcPr>
            <w:tcW w:w="2435" w:type="dxa"/>
            <w:vAlign w:val="center"/>
          </w:tcPr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需标注阅卷服务器及附件的平均已使用时长（以年为单位）</w:t>
            </w:r>
          </w:p>
        </w:tc>
        <w:tc>
          <w:tcPr>
            <w:tcW w:w="70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6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49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</w:tr>
      <w:tr w:rsidR="00F048F4">
        <w:trPr>
          <w:trHeight w:val="465"/>
          <w:jc w:val="center"/>
        </w:trPr>
        <w:tc>
          <w:tcPr>
            <w:tcW w:w="660" w:type="dxa"/>
            <w:vMerge w:val="restart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28" w:type="dxa"/>
            <w:vMerge w:val="restart"/>
            <w:vAlign w:val="center"/>
          </w:tcPr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通用电脑及附件保障服务</w:t>
            </w:r>
          </w:p>
        </w:tc>
        <w:tc>
          <w:tcPr>
            <w:tcW w:w="131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阅卷点</w:t>
            </w:r>
          </w:p>
        </w:tc>
        <w:tc>
          <w:tcPr>
            <w:tcW w:w="2435" w:type="dxa"/>
            <w:vMerge w:val="restart"/>
            <w:vAlign w:val="center"/>
          </w:tcPr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需标注电脑及附件的平均已使用时长（以年为单位）</w:t>
            </w:r>
          </w:p>
        </w:tc>
        <w:tc>
          <w:tcPr>
            <w:tcW w:w="700" w:type="dxa"/>
            <w:vMerge w:val="restart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6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3000</w:t>
            </w:r>
          </w:p>
        </w:tc>
        <w:tc>
          <w:tcPr>
            <w:tcW w:w="749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</w:tr>
      <w:tr w:rsidR="00F048F4">
        <w:trPr>
          <w:trHeight w:val="438"/>
          <w:jc w:val="center"/>
        </w:trPr>
        <w:tc>
          <w:tcPr>
            <w:tcW w:w="660" w:type="dxa"/>
            <w:vMerge/>
            <w:vAlign w:val="center"/>
          </w:tcPr>
          <w:p w:rsidR="00F048F4" w:rsidRDefault="00F048F4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标答点</w:t>
            </w:r>
            <w:proofErr w:type="gramEnd"/>
          </w:p>
        </w:tc>
        <w:tc>
          <w:tcPr>
            <w:tcW w:w="2435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/>
            <w:vAlign w:val="center"/>
          </w:tcPr>
          <w:p w:rsidR="00F048F4" w:rsidRDefault="00F048F4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749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</w:tr>
      <w:tr w:rsidR="00F048F4">
        <w:trPr>
          <w:trHeight w:val="438"/>
          <w:jc w:val="center"/>
        </w:trPr>
        <w:tc>
          <w:tcPr>
            <w:tcW w:w="660" w:type="dxa"/>
            <w:vMerge/>
            <w:vAlign w:val="center"/>
          </w:tcPr>
          <w:p w:rsidR="00F048F4" w:rsidRDefault="00F048F4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扫描点</w:t>
            </w:r>
          </w:p>
        </w:tc>
        <w:tc>
          <w:tcPr>
            <w:tcW w:w="2435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/>
            <w:vAlign w:val="center"/>
          </w:tcPr>
          <w:p w:rsidR="00F048F4" w:rsidRDefault="00F048F4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749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</w:tr>
      <w:tr w:rsidR="00F048F4">
        <w:trPr>
          <w:trHeight w:val="1068"/>
          <w:jc w:val="center"/>
        </w:trPr>
        <w:tc>
          <w:tcPr>
            <w:tcW w:w="66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38" w:type="dxa"/>
            <w:gridSpan w:val="2"/>
            <w:vAlign w:val="center"/>
          </w:tcPr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高性能笔记本电脑及附件保障服务（扫描点）</w:t>
            </w:r>
          </w:p>
        </w:tc>
        <w:tc>
          <w:tcPr>
            <w:tcW w:w="2435" w:type="dxa"/>
            <w:vAlign w:val="center"/>
          </w:tcPr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需标注笔记本电脑及附件的平均已使用时长（以年为单位）</w:t>
            </w:r>
          </w:p>
        </w:tc>
        <w:tc>
          <w:tcPr>
            <w:tcW w:w="70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6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749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</w:tr>
      <w:tr w:rsidR="00F048F4">
        <w:trPr>
          <w:trHeight w:val="719"/>
          <w:jc w:val="center"/>
        </w:trPr>
        <w:tc>
          <w:tcPr>
            <w:tcW w:w="66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38" w:type="dxa"/>
            <w:gridSpan w:val="2"/>
            <w:vAlign w:val="center"/>
          </w:tcPr>
          <w:p w:rsidR="00F048F4" w:rsidRDefault="006B65A1">
            <w:pPr>
              <w:rPr>
                <w:rFonts w:ascii="Times New Roman" w:eastAsia="仿宋_GB2312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48</w:t>
            </w: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口千兆交换机保障服务（扫描点）</w:t>
            </w:r>
          </w:p>
        </w:tc>
        <w:tc>
          <w:tcPr>
            <w:tcW w:w="2435" w:type="dxa"/>
            <w:vAlign w:val="center"/>
          </w:tcPr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需标注</w:t>
            </w: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48</w:t>
            </w: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口千兆交换机及附件的平均已使用时长（以年为单位）</w:t>
            </w:r>
          </w:p>
        </w:tc>
        <w:tc>
          <w:tcPr>
            <w:tcW w:w="70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6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49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</w:tr>
      <w:tr w:rsidR="00F048F4">
        <w:trPr>
          <w:trHeight w:val="719"/>
          <w:jc w:val="center"/>
        </w:trPr>
        <w:tc>
          <w:tcPr>
            <w:tcW w:w="66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38" w:type="dxa"/>
            <w:gridSpan w:val="2"/>
            <w:vAlign w:val="center"/>
          </w:tcPr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设备调试、技术支持、应急保障等服务</w:t>
            </w:r>
          </w:p>
        </w:tc>
        <w:tc>
          <w:tcPr>
            <w:tcW w:w="2435" w:type="dxa"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6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3300</w:t>
            </w:r>
          </w:p>
        </w:tc>
        <w:tc>
          <w:tcPr>
            <w:tcW w:w="749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</w:tr>
      <w:tr w:rsidR="00F048F4">
        <w:trPr>
          <w:trHeight w:val="719"/>
          <w:jc w:val="center"/>
        </w:trPr>
        <w:tc>
          <w:tcPr>
            <w:tcW w:w="66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738" w:type="dxa"/>
            <w:gridSpan w:val="2"/>
            <w:vAlign w:val="center"/>
          </w:tcPr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通信网络、电力架设服务</w:t>
            </w:r>
          </w:p>
        </w:tc>
        <w:tc>
          <w:tcPr>
            <w:tcW w:w="2435" w:type="dxa"/>
            <w:vAlign w:val="center"/>
          </w:tcPr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需</w:t>
            </w:r>
            <w:proofErr w:type="gramStart"/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标注组</w:t>
            </w:r>
            <w:proofErr w:type="gramEnd"/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网方式</w:t>
            </w:r>
          </w:p>
        </w:tc>
        <w:tc>
          <w:tcPr>
            <w:tcW w:w="70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6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3300</w:t>
            </w:r>
          </w:p>
        </w:tc>
        <w:tc>
          <w:tcPr>
            <w:tcW w:w="749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</w:tr>
      <w:tr w:rsidR="00F048F4">
        <w:trPr>
          <w:trHeight w:val="719"/>
          <w:jc w:val="center"/>
        </w:trPr>
        <w:tc>
          <w:tcPr>
            <w:tcW w:w="66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738" w:type="dxa"/>
            <w:gridSpan w:val="2"/>
            <w:vAlign w:val="center"/>
          </w:tcPr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软件预装、语音同步系统服务等</w:t>
            </w:r>
          </w:p>
        </w:tc>
        <w:tc>
          <w:tcPr>
            <w:tcW w:w="2435" w:type="dxa"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6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3300</w:t>
            </w:r>
          </w:p>
        </w:tc>
        <w:tc>
          <w:tcPr>
            <w:tcW w:w="749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</w:tr>
      <w:tr w:rsidR="00F048F4">
        <w:trPr>
          <w:trHeight w:val="592"/>
          <w:jc w:val="center"/>
        </w:trPr>
        <w:tc>
          <w:tcPr>
            <w:tcW w:w="660" w:type="dxa"/>
            <w:vMerge w:val="restart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28" w:type="dxa"/>
            <w:vMerge w:val="restart"/>
            <w:vAlign w:val="center"/>
          </w:tcPr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工作场地监控、安全防护系统服务等</w:t>
            </w:r>
          </w:p>
        </w:tc>
        <w:tc>
          <w:tcPr>
            <w:tcW w:w="131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标答点</w:t>
            </w:r>
            <w:proofErr w:type="gramEnd"/>
          </w:p>
        </w:tc>
        <w:tc>
          <w:tcPr>
            <w:tcW w:w="2435" w:type="dxa"/>
            <w:vMerge w:val="restart"/>
            <w:vAlign w:val="center"/>
          </w:tcPr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每个阅卷场地四个方位和服务器的安装位置各设置一个高</w:t>
            </w:r>
            <w:proofErr w:type="gramStart"/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清数字</w:t>
            </w:r>
            <w:proofErr w:type="gramEnd"/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监控；每台</w:t>
            </w:r>
            <w:proofErr w:type="gramStart"/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扫卡设备</w:t>
            </w:r>
            <w:proofErr w:type="gramEnd"/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配备一个监控</w:t>
            </w:r>
          </w:p>
        </w:tc>
        <w:tc>
          <w:tcPr>
            <w:tcW w:w="700" w:type="dxa"/>
            <w:vMerge w:val="restart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6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749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</w:tr>
      <w:tr w:rsidR="00F048F4">
        <w:trPr>
          <w:trHeight w:val="592"/>
          <w:jc w:val="center"/>
        </w:trPr>
        <w:tc>
          <w:tcPr>
            <w:tcW w:w="660" w:type="dxa"/>
            <w:vMerge/>
            <w:vAlign w:val="center"/>
          </w:tcPr>
          <w:p w:rsidR="00F048F4" w:rsidRDefault="00F048F4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阅卷点</w:t>
            </w:r>
          </w:p>
        </w:tc>
        <w:tc>
          <w:tcPr>
            <w:tcW w:w="2435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749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</w:tr>
      <w:tr w:rsidR="00F048F4">
        <w:trPr>
          <w:trHeight w:val="614"/>
          <w:jc w:val="center"/>
        </w:trPr>
        <w:tc>
          <w:tcPr>
            <w:tcW w:w="660" w:type="dxa"/>
            <w:vMerge/>
            <w:vAlign w:val="center"/>
          </w:tcPr>
          <w:p w:rsidR="00F048F4" w:rsidRDefault="00F048F4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扫描点</w:t>
            </w:r>
          </w:p>
        </w:tc>
        <w:tc>
          <w:tcPr>
            <w:tcW w:w="2435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749" w:type="dxa"/>
            <w:vMerge/>
            <w:vAlign w:val="center"/>
          </w:tcPr>
          <w:p w:rsidR="00F048F4" w:rsidRDefault="00F048F4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</w:tr>
    </w:tbl>
    <w:p w:rsidR="00F048F4" w:rsidRDefault="006B65A1">
      <w:pPr>
        <w:rPr>
          <w:rFonts w:ascii="Times New Roman" w:eastAsia="黑体" w:hAnsi="Times New Roman" w:cs="黑体"/>
          <w:color w:val="000000" w:themeColor="text1"/>
          <w:sz w:val="30"/>
          <w:szCs w:val="30"/>
        </w:rPr>
      </w:pPr>
      <w:r>
        <w:rPr>
          <w:rFonts w:ascii="Times New Roman" w:eastAsia="黑体" w:hAnsi="Times New Roman" w:cs="黑体" w:hint="eastAsia"/>
          <w:color w:val="000000" w:themeColor="text1"/>
          <w:sz w:val="30"/>
          <w:szCs w:val="30"/>
        </w:rPr>
        <w:br w:type="page"/>
      </w:r>
    </w:p>
    <w:p w:rsidR="00F048F4" w:rsidRDefault="006B65A1">
      <w:pPr>
        <w:pStyle w:val="1"/>
        <w:keepNext w:val="0"/>
        <w:keepLines w:val="0"/>
        <w:spacing w:beforeLines="50" w:before="156" w:afterLines="50" w:after="156" w:line="480" w:lineRule="exact"/>
        <w:rPr>
          <w:rFonts w:ascii="Times New Roman" w:eastAsia="黑体" w:hAnsi="Times New Roman" w:cs="黑体"/>
          <w:b w:val="0"/>
          <w:bCs w:val="0"/>
          <w:color w:val="000000" w:themeColor="text1"/>
          <w:kern w:val="2"/>
          <w:sz w:val="30"/>
          <w:szCs w:val="30"/>
        </w:rPr>
      </w:pPr>
      <w:r>
        <w:rPr>
          <w:rFonts w:ascii="Times New Roman" w:eastAsia="黑体" w:hAnsi="Times New Roman" w:cs="黑体" w:hint="eastAsia"/>
          <w:b w:val="0"/>
          <w:bCs w:val="0"/>
          <w:color w:val="000000" w:themeColor="text1"/>
          <w:kern w:val="2"/>
          <w:sz w:val="30"/>
          <w:szCs w:val="30"/>
        </w:rPr>
        <w:lastRenderedPageBreak/>
        <w:t>七、报价表（参考格式）</w:t>
      </w:r>
    </w:p>
    <w:p w:rsidR="00F048F4" w:rsidRDefault="006B65A1">
      <w:pPr>
        <w:spacing w:line="480" w:lineRule="exact"/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01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包、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02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包：</w:t>
      </w:r>
    </w:p>
    <w:p w:rsidR="00F048F4" w:rsidRDefault="006B65A1">
      <w:pPr>
        <w:spacing w:line="480" w:lineRule="exact"/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分别按照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1650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台通用电脑及相应配套服务进行报价。</w:t>
      </w:r>
    </w:p>
    <w:p w:rsidR="00F048F4" w:rsidRDefault="00F048F4">
      <w:pPr>
        <w:spacing w:line="480" w:lineRule="exact"/>
        <w:ind w:firstLineChars="200" w:firstLine="600"/>
        <w:rPr>
          <w:rFonts w:ascii="Times New Roman" w:eastAsia="仿宋_GB2312" w:hAnsi="Times New Roman"/>
          <w:color w:val="000000" w:themeColor="text1"/>
          <w:sz w:val="30"/>
          <w:szCs w:val="30"/>
        </w:rPr>
      </w:pPr>
    </w:p>
    <w:tbl>
      <w:tblPr>
        <w:tblStyle w:val="a8"/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2268"/>
        <w:gridCol w:w="2745"/>
        <w:gridCol w:w="657"/>
        <w:gridCol w:w="851"/>
        <w:gridCol w:w="843"/>
        <w:gridCol w:w="850"/>
      </w:tblGrid>
      <w:tr w:rsidR="00F048F4">
        <w:trPr>
          <w:jc w:val="center"/>
        </w:trPr>
        <w:tc>
          <w:tcPr>
            <w:tcW w:w="657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2745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设备性能及服务内容</w:t>
            </w:r>
          </w:p>
        </w:tc>
        <w:tc>
          <w:tcPr>
            <w:tcW w:w="657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843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单价</w:t>
            </w: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备注</w:t>
            </w:r>
          </w:p>
        </w:tc>
      </w:tr>
      <w:tr w:rsidR="00F048F4">
        <w:trPr>
          <w:trHeight w:val="4728"/>
          <w:jc w:val="center"/>
        </w:trPr>
        <w:tc>
          <w:tcPr>
            <w:tcW w:w="657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通用电脑（阅卷机）及附件保障服务</w:t>
            </w:r>
          </w:p>
        </w:tc>
        <w:tc>
          <w:tcPr>
            <w:tcW w:w="2745" w:type="dxa"/>
            <w:vAlign w:val="center"/>
          </w:tcPr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  <w:t>包含但不限于：</w:t>
            </w:r>
          </w:p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根据扫描点、标答点、阅卷点设置情况，提供相应数量的、能完全满足阅卷需求的通用电脑、服务器及附件保障服务；</w:t>
            </w:r>
          </w:p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设备调试、技术支持、应急保障等服务；</w:t>
            </w:r>
          </w:p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通信网络、电力架设等服务；</w:t>
            </w:r>
          </w:p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4.</w:t>
            </w: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软件预装、语音同步系统等服务；</w:t>
            </w:r>
          </w:p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5.</w:t>
            </w: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阅卷场地监控、安全防护系统等服务；</w:t>
            </w:r>
          </w:p>
          <w:p w:rsidR="00F048F4" w:rsidRDefault="006B65A1">
            <w:pP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6.</w:t>
            </w: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阅卷工作中必要的辅助设备。如：耳机、身份核验设备、智能手机安检门等；</w:t>
            </w:r>
          </w:p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657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1650</w:t>
            </w:r>
          </w:p>
        </w:tc>
        <w:tc>
          <w:tcPr>
            <w:tcW w:w="843" w:type="dxa"/>
            <w:vAlign w:val="center"/>
          </w:tcPr>
          <w:p w:rsidR="00F048F4" w:rsidRDefault="00F048F4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048F4" w:rsidRDefault="006B65A1">
            <w:pPr>
              <w:jc w:val="center"/>
              <w:rPr>
                <w:rFonts w:ascii="Times New Roman" w:eastAsia="仿宋" w:hAnsi="Times New Roman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theme="minorEastAsia" w:hint="eastAsia"/>
                <w:kern w:val="0"/>
                <w:sz w:val="24"/>
                <w:szCs w:val="24"/>
              </w:rPr>
              <w:t>考试服务类</w:t>
            </w:r>
          </w:p>
        </w:tc>
      </w:tr>
    </w:tbl>
    <w:p w:rsidR="00F048F4" w:rsidRDefault="00F048F4">
      <w:pPr>
        <w:tabs>
          <w:tab w:val="left" w:pos="7320"/>
          <w:tab w:val="left" w:pos="8610"/>
        </w:tabs>
        <w:spacing w:line="400" w:lineRule="exact"/>
        <w:rPr>
          <w:rFonts w:ascii="Times New Roman" w:eastAsia="仿宋_GB2312" w:hAnsi="Times New Roman"/>
          <w:color w:val="000000" w:themeColor="text1"/>
          <w:sz w:val="30"/>
          <w:szCs w:val="30"/>
        </w:rPr>
      </w:pPr>
    </w:p>
    <w:p w:rsidR="00F048F4" w:rsidRDefault="006B65A1">
      <w:pPr>
        <w:tabs>
          <w:tab w:val="left" w:pos="7320"/>
          <w:tab w:val="left" w:pos="8610"/>
        </w:tabs>
        <w:spacing w:line="400" w:lineRule="exact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注：</w:t>
      </w:r>
    </w:p>
    <w:p w:rsidR="00F048F4" w:rsidRDefault="006B65A1">
      <w:pPr>
        <w:tabs>
          <w:tab w:val="left" w:pos="7320"/>
          <w:tab w:val="left" w:pos="8610"/>
        </w:tabs>
        <w:spacing w:line="400" w:lineRule="exact"/>
        <w:rPr>
          <w:rFonts w:ascii="Times New Roman" w:eastAsia="仿宋_GB2312" w:hAnsi="Times New Roman"/>
          <w:color w:val="000000" w:themeColor="text1"/>
          <w:sz w:val="24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、建议按阅卷机单价</w:t>
      </w:r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*</w:t>
      </w:r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数量，根据实际使用量据实结算。</w:t>
      </w:r>
    </w:p>
    <w:p w:rsidR="00F048F4" w:rsidRDefault="006B65A1">
      <w:pPr>
        <w:tabs>
          <w:tab w:val="left" w:pos="7320"/>
          <w:tab w:val="left" w:pos="8610"/>
        </w:tabs>
        <w:spacing w:line="400" w:lineRule="exact"/>
        <w:rPr>
          <w:rFonts w:ascii="Times New Roman" w:eastAsia="仿宋_GB2312" w:hAnsi="Times New Roman"/>
          <w:color w:val="000000" w:themeColor="text1"/>
          <w:sz w:val="24"/>
          <w:szCs w:val="30"/>
        </w:rPr>
      </w:pPr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2</w:t>
      </w:r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、单价包括：设备租赁、技术服务、人工、税费、交通、货物运输及各项税费。</w:t>
      </w:r>
    </w:p>
    <w:p w:rsidR="00F048F4" w:rsidRDefault="006B65A1">
      <w:pPr>
        <w:tabs>
          <w:tab w:val="left" w:pos="7320"/>
          <w:tab w:val="left" w:pos="8610"/>
        </w:tabs>
        <w:spacing w:line="400" w:lineRule="exact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3</w:t>
      </w:r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、本项目分为</w:t>
      </w:r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 xml:space="preserve">2 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个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包，将会按照第</w:t>
      </w:r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01</w:t>
      </w:r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包、第</w:t>
      </w:r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02</w:t>
      </w:r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包的顺序对每个包的投标文件进行分别评审。在</w:t>
      </w:r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01</w:t>
      </w:r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包、</w:t>
      </w:r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02</w:t>
      </w:r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包中，供应商</w:t>
      </w:r>
      <w:r>
        <w:rPr>
          <w:rFonts w:ascii="Times New Roman" w:eastAsia="仿宋_GB2312" w:hAnsi="Times New Roman" w:hint="eastAsia"/>
          <w:b/>
          <w:color w:val="000000" w:themeColor="text1"/>
          <w:sz w:val="24"/>
          <w:szCs w:val="30"/>
        </w:rPr>
        <w:t>可以</w:t>
      </w:r>
      <w:proofErr w:type="gramStart"/>
      <w:r>
        <w:rPr>
          <w:rFonts w:ascii="Times New Roman" w:eastAsia="仿宋_GB2312" w:hAnsi="Times New Roman" w:hint="eastAsia"/>
          <w:b/>
          <w:color w:val="000000" w:themeColor="text1"/>
          <w:sz w:val="24"/>
          <w:szCs w:val="30"/>
        </w:rPr>
        <w:t>投其中</w:t>
      </w:r>
      <w:proofErr w:type="gramEnd"/>
      <w:r>
        <w:rPr>
          <w:rFonts w:ascii="Times New Roman" w:eastAsia="仿宋_GB2312" w:hAnsi="Times New Roman" w:hint="eastAsia"/>
          <w:b/>
          <w:color w:val="000000" w:themeColor="text1"/>
          <w:sz w:val="24"/>
          <w:szCs w:val="30"/>
        </w:rPr>
        <w:t>一个包，也可以同时投两个包</w:t>
      </w:r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，但是</w:t>
      </w:r>
      <w:r>
        <w:rPr>
          <w:rFonts w:ascii="Times New Roman" w:eastAsia="仿宋_GB2312" w:hAnsi="Times New Roman" w:hint="eastAsia"/>
          <w:b/>
          <w:color w:val="000000" w:themeColor="text1"/>
          <w:sz w:val="24"/>
          <w:szCs w:val="30"/>
        </w:rPr>
        <w:t>只能</w:t>
      </w:r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在一个包中被推荐为第一成交候选人。如果不存在同一个供应商在两个包中都排序第一的情况，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则综合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得分最高的供应商推荐为第一成交候选人；如果同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一供应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商在两个包中都排序第一，则该供应商只能在评审顺序在先的包中被推荐为第一成交候选人，在其它包中不能被推荐为第一成交候选人。在其它包中排除前一</w:t>
      </w:r>
      <w:r>
        <w:rPr>
          <w:rFonts w:ascii="Times New Roman" w:eastAsia="仿宋_GB2312" w:hAnsi="Times New Roman" w:hint="eastAsia"/>
          <w:color w:val="000000" w:themeColor="text1"/>
          <w:sz w:val="24"/>
          <w:szCs w:val="30"/>
        </w:rPr>
        <w:t>包中已被推荐为第一成交候选人的供应商后，排序第一的供应商将被推荐为该包的第一成交候选人。</w:t>
      </w:r>
    </w:p>
    <w:p w:rsidR="00F048F4" w:rsidRDefault="00F048F4"/>
    <w:sectPr w:rsidR="00F048F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A1" w:rsidRDefault="006B65A1">
      <w:r>
        <w:separator/>
      </w:r>
    </w:p>
  </w:endnote>
  <w:endnote w:type="continuationSeparator" w:id="0">
    <w:p w:rsidR="006B65A1" w:rsidRDefault="006B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F4" w:rsidRDefault="006B65A1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F048F4" w:rsidRDefault="006B65A1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1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18"/>
                  </w:rPr>
                  <w:fldChar w:fldCharType="separate"/>
                </w:r>
                <w:r w:rsidR="006D72A1">
                  <w:rPr>
                    <w:rFonts w:ascii="Times New Roman" w:hAnsi="Times New Roman" w:cs="Times New Roman"/>
                    <w:noProof/>
                    <w:sz w:val="18"/>
                  </w:rPr>
                  <w:t>2</w:t>
                </w:r>
                <w:r>
                  <w:rPr>
                    <w:rFonts w:ascii="Times New Roman" w:hAnsi="Times New Roman" w:cs="Times New Roman"/>
                    <w:sz w:val="1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18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8"/>
                  </w:rPr>
                  <w:t>页</w:t>
                </w:r>
                <w:r>
                  <w:rPr>
                    <w:rFonts w:ascii="Times New Roman" w:hAnsi="Times New Roman" w:cs="Times New Roman"/>
                    <w:sz w:val="18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8"/>
                  </w:rPr>
                  <w:t>共</w:t>
                </w:r>
                <w:r>
                  <w:rPr>
                    <w:rFonts w:ascii="Times New Roman" w:hAnsi="Times New Roman" w:cs="Times New Roman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 w:rsidR="006D72A1" w:rsidRPr="006D72A1">
                  <w:rPr>
                    <w:rFonts w:ascii="Times New Roman" w:hAnsi="Times New Roman" w:cs="Times New Roman"/>
                    <w:noProof/>
                    <w:sz w:val="18"/>
                  </w:rPr>
                  <w:t>8</w:t>
                </w:r>
                <w:r>
                  <w:rPr>
                    <w:rFonts w:ascii="Times New Roman" w:hAnsi="Times New Roman" w:cs="Times New Roman"/>
                    <w:sz w:val="1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18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A1" w:rsidRDefault="006B65A1">
      <w:r>
        <w:separator/>
      </w:r>
    </w:p>
  </w:footnote>
  <w:footnote w:type="continuationSeparator" w:id="0">
    <w:p w:rsidR="006B65A1" w:rsidRDefault="006B6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8BA"/>
    <w:multiLevelType w:val="multilevel"/>
    <w:tmpl w:val="14F778BA"/>
    <w:lvl w:ilvl="0">
      <w:start w:val="1"/>
      <w:numFmt w:val="japaneseCounting"/>
      <w:lvlText w:val="（%1）"/>
      <w:lvlJc w:val="left"/>
      <w:pPr>
        <w:ind w:left="153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815DA1"/>
    <w:rsid w:val="000441FA"/>
    <w:rsid w:val="000A1217"/>
    <w:rsid w:val="005259B4"/>
    <w:rsid w:val="006B65A1"/>
    <w:rsid w:val="006D72A1"/>
    <w:rsid w:val="006E525D"/>
    <w:rsid w:val="006E7C7F"/>
    <w:rsid w:val="00915AE6"/>
    <w:rsid w:val="009959C2"/>
    <w:rsid w:val="00A90A85"/>
    <w:rsid w:val="00B0222A"/>
    <w:rsid w:val="00B060C3"/>
    <w:rsid w:val="00C0706C"/>
    <w:rsid w:val="00DC2F93"/>
    <w:rsid w:val="00F048F4"/>
    <w:rsid w:val="00F85ACA"/>
    <w:rsid w:val="0167589D"/>
    <w:rsid w:val="07073DD6"/>
    <w:rsid w:val="16BD77AF"/>
    <w:rsid w:val="17926062"/>
    <w:rsid w:val="2371363C"/>
    <w:rsid w:val="2B121398"/>
    <w:rsid w:val="2B9A40DE"/>
    <w:rsid w:val="2DCA0DD0"/>
    <w:rsid w:val="3AF44451"/>
    <w:rsid w:val="3C2A732A"/>
    <w:rsid w:val="41FA578E"/>
    <w:rsid w:val="43C45018"/>
    <w:rsid w:val="550F0F35"/>
    <w:rsid w:val="586C6B4D"/>
    <w:rsid w:val="5E815DA1"/>
    <w:rsid w:val="7615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2"/>
    <w:qFormat/>
    <w:rPr>
      <w:b/>
      <w:bCs/>
    </w:rPr>
  </w:style>
  <w:style w:type="table" w:styleId="a8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6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2">
    <w:name w:val="批注主题 Char"/>
    <w:basedOn w:val="Char"/>
    <w:link w:val="a7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</dc:creator>
  <cp:lastModifiedBy>办公</cp:lastModifiedBy>
  <cp:revision>15</cp:revision>
  <cp:lastPrinted>2026-06-23T06:28:00Z</cp:lastPrinted>
  <dcterms:created xsi:type="dcterms:W3CDTF">2025-08-15T07:47:00Z</dcterms:created>
  <dcterms:modified xsi:type="dcterms:W3CDTF">2026-07-06T01:18:00Z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